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9" w:history="1">
        <w:r>
          <w:rPr>
            <w:rFonts w:ascii="Arial" w:hAnsi="Arial" w:eastAsia="Arial" w:cs="Arial"/>
            <w:color w:val="155CAA"/>
            <w:u w:val="single"/>
          </w:rPr>
          <w:t xml:space="preserve">1 Raad 23 juni 2014 - Ingekomen stuk, Werkgroep Typisch Dalfsen, visie, nr 17316-16562, 20140605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9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Werkgroep Typisch Dalfsen, visie, nr 17316-16562, 20140605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Werkgroep Typisch Dalfsen, visie, nr 17316-16562, 20140605.pdf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3-juni-2014---Ingekomen-stuk--Werkgroep-Typisch-Dalfsen--visie--nr-17316-16562--201406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