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8" w:history="1">
        <w:r>
          <w:rPr>
            <w:rFonts w:ascii="Arial" w:hAnsi="Arial" w:eastAsia="Arial" w:cs="Arial"/>
            <w:color w:val="155CAA"/>
            <w:u w:val="single"/>
          </w:rPr>
          <w:t xml:space="preserve">1 Raad 23 juni 2014 - Ingekomen stuk, Abvakabo FNV CNV Publieke Zaak, CAO WSW, nr 11234-20311, 20140605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8"/>
      <w:r w:rsidRPr="00A448AC">
        <w:rPr>
          <w:rFonts w:ascii="Arial" w:hAnsi="Arial" w:cs="Arial"/>
          <w:b/>
          <w:bCs/>
          <w:color w:val="303F4C"/>
          <w:lang w:val="en-US"/>
        </w:rPr>
        <w:t>Raad 23 juni 2014 - Ingekomen stuk, Abvakabo FNV CNV Publieke Zaak, CAO WSW, nr 11234-20311, 20140605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juni 2014 - Ingekomen stuk, Abvakabo FNV CNV Publieke Zaak, CAO WSW, nr 11234-20311, 20140605.pdf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3-juni-2014---Ingekomen-stuk--Abvakabo-FNV-CNV-Publieke-Zaak--CAO-WSW--nr-11234-20311--201406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