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25" w:history="1">
        <w:r>
          <w:rPr>
            <w:rFonts w:ascii="Arial" w:hAnsi="Arial" w:eastAsia="Arial" w:cs="Arial"/>
            <w:color w:val="155CAA"/>
            <w:u w:val="single"/>
          </w:rPr>
          <w:t xml:space="preserve">1 Raad 22 sep 2014 - Ingekomen stuk, RvS, BP Kern Dalfsen 2012 beroep Vechthorst, nr 17877-20752, 2014626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25"/>
      <w:r w:rsidRPr="00A448AC">
        <w:rPr>
          <w:rFonts w:ascii="Arial" w:hAnsi="Arial" w:cs="Arial"/>
          <w:b/>
          <w:bCs/>
          <w:color w:val="303F4C"/>
          <w:lang w:val="en-US"/>
        </w:rPr>
        <w:t>Raad 22 sep 2014 - Ingekomen stuk, RvS, BP Kern Dalfsen 2012 beroep Vechthorst, nr 17877-20752, 2014626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29-09-2014 12:45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sep 2014 - Ingekomen stuk, RvS, BP Kern Dalfsen 2012 beroep Vechthorst, nr 17877-20752, 2014626.pdf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2-sep-2014---Ingekomen-stuk--RvS--BP-Kern-Dalfsen-2012-beroep-Vechthorst--nr-17877-20752--20146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