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61" w:history="1">
        <w:r>
          <w:rPr>
            <w:rFonts w:ascii="Arial" w:hAnsi="Arial" w:eastAsia="Arial" w:cs="Arial"/>
            <w:color w:val="155CAA"/>
            <w:u w:val="single"/>
          </w:rPr>
          <w:t xml:space="preserve">1 Raad 22 apr 2013 - Ingekomen stuk, Veiligheidsregio IJsselland, concept begroting 2014 en vjn 2013, nr 6242-5259, 20130409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61"/>
      <w:r w:rsidRPr="00A448AC">
        <w:rPr>
          <w:rFonts w:ascii="Arial" w:hAnsi="Arial" w:cs="Arial"/>
          <w:b/>
          <w:bCs/>
          <w:color w:val="303F4C"/>
          <w:lang w:val="en-US"/>
        </w:rPr>
        <w:t>Raad 22 apr 2013 - Ingekomen stuk, Veiligheidsregio IJsselland, concept begroting 2014 en vjn 2013, nr 6242-5259, 20130409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27-05-2013 09:21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apr 2013 - Ingekomen stuk, Veiligheidsregio IJsselland, concept begroting 2014 en vjn 2013, nr 6242-5259, 20130409.pdf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2-apr-2013---Ingekomen-stuk--Veiligheidsregio-IJsselland--concept-begroting-2014-en-vjn-2013--nr-6242-5259--201304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