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34" text:style-name="Internet_20_link" text:visited-style-name="Visited_20_Internet_20_Link">
              <text:span text:style-name="ListLabel_20_28">
                <text:span text:style-name="T8">1 Raad 21 mrt 2016 - Ingekomen stuk, Welzijnskoepel, reactie op inspraaknotitie toekomstgericht welzijnsbeleid, nr 1698-2577, 20160309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34"/>
        Raad 21 mrt 2016 - Ingekomen stuk, Welzijnskoepel, reactie op inspraaknotitie toekomstgericht welzijnsbeleid, nr 1698-2577, 20160309
        <text:bookmark-end text:name="414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24-03-2016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21 mrt 2016 - Ingekomen stuk, Welzijnskoepel, reactie op inspraaknotitie toekomstgericht welzijnsbeleid, nr 1698-2577, 20160309.pdf
              <text:span text:style-name="T3"/>
            </text:p>
            <text:p text:style-name="P7"/>
          </table:table-cell>
          <table:table-cell table:style-name="Table4.A2" office:value-type="string">
            <text:p text:style-name="P8">09-03-2016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135,71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1-mrt-2016-Ingekomen-stuk-Welzijnskoepel-reactie-op-inspraaknotitie-toekomstgericht-welzijnsbeleid-nr-1698-2577-201603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86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