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24" w:history="1">
        <w:r>
          <w:rPr>
            <w:rFonts w:ascii="Arial" w:hAnsi="Arial" w:eastAsia="Arial" w:cs="Arial"/>
            <w:color w:val="155CAA"/>
            <w:u w:val="single"/>
          </w:rPr>
          <w:t xml:space="preserve">1 Raad 18 dec 2017 - Ingekomen stuk, Ledenbrief VNG, Lbr 17-075, Effecten-wijziging-wet-minimumloon-op-het-pgb, nr 573169-225768, 20171212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24"/>
      <w:r w:rsidRPr="00A448AC">
        <w:rPr>
          <w:rFonts w:ascii="Arial" w:hAnsi="Arial" w:cs="Arial"/>
          <w:b/>
          <w:bCs/>
          <w:color w:val="303F4C"/>
          <w:lang w:val="en-US"/>
        </w:rPr>
        <w:t>Raad 18 dec 2017 - Ingekomen stuk, Ledenbrief VNG, Lbr 17-075, Effecten-wijziging-wet-minimumloon-op-het-pgb, nr 573169-225768, 20171212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 14:26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18 dec 2017 - Ingekomen stuk, Ledenbrief VNG, Lbr 17-075, Effecten-wijziging-wet-minimumloon-op-het-pgb, nr 573169-225768, 20171212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1.003,50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Raad-18-dec-2017-Ingekomen-stuk-Ledenbrief-VNG-Lbr-17-075-Effecten-wijziging-wet-minimumloon-op-het-pgb-nr-573169-225768-2017121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