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41" w:history="1">
        <w:r>
          <w:rPr>
            <w:rFonts w:ascii="Arial" w:hAnsi="Arial" w:eastAsia="Arial" w:cs="Arial"/>
            <w:color w:val="155CAA"/>
            <w:u w:val="single"/>
          </w:rPr>
          <w:t xml:space="preserve">1 Raad 18 apr 2017 - Ingekomen stuk, H.H., Klacht functioneren GBLT mbt WOZ, nr 494481-128222, 20170328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41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H.H., Klacht functioneren GBLT mbt WOZ, nr 494481-128222, 20170328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H.H., Klacht functioneren GBLT mbt WOZ, nr 494481-128222,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8-apr-2017-Ingekomen-stuk-H-H-Klacht-functioneren-GBLT-mbt-WOZ-nr-494481-128222-201703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