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56" w:history="1">
        <w:r>
          <w:rPr>
            <w:rFonts w:ascii="Arial" w:hAnsi="Arial" w:eastAsia="Arial" w:cs="Arial"/>
            <w:color w:val="155CAA"/>
            <w:u w:val="single"/>
          </w:rPr>
          <w:t xml:space="preserve">1 Raad 17 febr 2014 - Ingekomen stuk, Provincie Overijssel, toezichtsvorm programmabegroting 2014, nr 5966-16851, 20140206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56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Provincie Overijssel, toezichtsvorm programmabegroting 2014, nr 5966-16851, 20140206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Provincie Overijssel, toezichtsvorm programmabegroting 2014, nr 5966-16851, 20140206.pdf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7-febr-2014---Ingekomen-stuk--Provincie-Overijssel--toezichtsvorm-programmabegroting-2014--nr-5966-16851--201402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