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4" w:history="1">
        <w:r>
          <w:rPr>
            <w:rFonts w:ascii="Arial" w:hAnsi="Arial" w:eastAsia="Arial" w:cs="Arial"/>
            <w:color w:val="155CAA"/>
            <w:u w:val="single"/>
          </w:rPr>
          <w:t xml:space="preserve">1 Raad 17 feb 2014 - Ingekomen stuk, RvS, aanvullende stukken BP en beeldkwaliteitplan recreatieterreinen en -woningen Gem Dalfsen, nr 10607-17354, 20140120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4"/>
      <w:r w:rsidRPr="00A448AC">
        <w:rPr>
          <w:rFonts w:ascii="Arial" w:hAnsi="Arial" w:cs="Arial"/>
          <w:b/>
          <w:bCs/>
          <w:color w:val="303F4C"/>
          <w:lang w:val="en-US"/>
        </w:rPr>
        <w:t>Raad 17 feb 2014 - Ingekomen stuk, RvS, aanvullende stukken BP en beeldkwaliteitplan recreatieterreinen en -woningen Gem Dalfsen, nr 10607-17354, 20140120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 2014 - Ingekomen stuk, RvS, aanvullende stukken BP en beeldkwaliteitplan recreatieterreinen en -woningen Gem Dalfsen, nr 10607-17354, 20140120.pdf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7-feb-2014---Ingekomen-stuk--RvS--aanvullende-stukken-BP-en-beeldkwaliteitplan-recreatieterreinen-en--woningen-Gem-Dalfsen--nr-10607-17354--20140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