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4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Wsw cliëntenraad, Liquidatienotitie WEZO GR, nr 8501-16450, 20131202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4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Wsw cliëntenraad, Liquidatienotitie WEZO GR, nr 8501-16450, 20131202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Wsw cliëntenraad, Liquidatienotitie WEZO GR, nr 8501-16450, 20131202.pdf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6-dec-2013---Ingekomen-stuk--Wsw-clientenraad--Liquidatienotitie-WEZO-GR--nr-8501-16450--20131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