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4" w:history="1">
        <w:r>
          <w:rPr>
            <w:rFonts w:ascii="Arial" w:hAnsi="Arial" w:eastAsia="Arial" w:cs="Arial"/>
            <w:color w:val="155CAA"/>
            <w:u w:val="single"/>
          </w:rPr>
          <w:t xml:space="preserve">1 Raad 15 okt 2012 - 20121008 Ingekomen stuk, RvS Dalfsen BP De Grift III Nieuwleusen, nr 5378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4"/>
      <w:r w:rsidRPr="00A448AC">
        <w:rPr>
          <w:rFonts w:ascii="Arial" w:hAnsi="Arial" w:cs="Arial"/>
          <w:b/>
          <w:bCs/>
          <w:color w:val="303F4C"/>
          <w:lang w:val="en-US"/>
        </w:rPr>
        <w:t>Raad 15 okt 2012 - 20121008 Ingekomen stuk, RvS Dalfsen BP De Grift III Nieuwleusen, nr 5378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okt 2012 - 20121008 Ingekomen stuk, RvS Dalfsen BP De Grift III Nieuwleusen, nr 5378.pdf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5-okt-2012---20121008-Ingekomen-stuk--RvS-Dalfsen-BP-De-Grift-III-Nieuwleusen--nr-53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