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15:25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267" w:history="1">
        <w:r>
          <w:rPr>
            <w:rFonts w:ascii="Arial" w:hAnsi="Arial" w:eastAsia="Arial" w:cs="Arial"/>
            <w:color w:val="155CAA"/>
            <w:u w:val="single"/>
          </w:rPr>
          <w:t xml:space="preserve">1 Raad 15 dec 2015 - Ingekomen stuk, Ada Busman, Burgerfiltersysteem bij uithuisplaatsingen in te voeren, nr 21538-22222, 20141201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267"/>
      <w:r w:rsidRPr="00A448AC">
        <w:rPr>
          <w:rFonts w:ascii="Arial" w:hAnsi="Arial" w:cs="Arial"/>
          <w:b/>
          <w:bCs/>
          <w:color w:val="303F4C"/>
          <w:lang w:val="en-US"/>
        </w:rPr>
        <w:t>Raad 15 dec 2015 - Ingekomen stuk, Ada Busman, Burgerfiltersysteem bij uithuisplaatsingen in te voeren, nr 21538-22222, 20141201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16-12-2014 11:32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afdoening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15 dec 2015 - Ingekomen stuk, Ada Busman, Burgerfiltersysteem bij uithuisplaatsingen in te voeren, nr 21538-22222, 20141201.pdf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42,86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Ingekomen-stuk/ter-afdoening-in-handen-van-het-college-stellen/Raad-15-dec-2015---Ingekomen-stuk--Ada-Busman--Burgerfiltersysteem-bij-uithuisplaatsingen-in-te-voeren--nr-21538-22222--2014120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