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59" w:history="1">
        <w:r>
          <w:rPr>
            <w:rFonts w:ascii="Arial" w:hAnsi="Arial" w:eastAsia="Arial" w:cs="Arial"/>
            <w:color w:val="155CAA"/>
            <w:u w:val="single"/>
          </w:rPr>
          <w:t xml:space="preserve">1 Raad 15 dec 2014 - Ingekomen stuk, VNG, Ledenbrief beleidsinformatie jeugd - gedwongen kader gem Dalfsen, nr 21221-21805, 20141120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59"/>
      <w:r w:rsidRPr="00A448AC">
        <w:rPr>
          <w:rFonts w:ascii="Arial" w:hAnsi="Arial" w:cs="Arial"/>
          <w:b/>
          <w:bCs/>
          <w:color w:val="303F4C"/>
          <w:lang w:val="en-US"/>
        </w:rPr>
        <w:t>Raad 15 dec 2014 - Ingekomen stuk, VNG, Ledenbrief beleidsinformatie jeugd - gedwongen kader gem Dalfsen, nr 21221-21805, 20141120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2014 - Ingekomen stuk, VNG, Ledenbrief beleidsinformatie jeugd - gedwongen kader gem Dalfsen, nr 21221-21805, 20141120.pdf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5-dec-2014---Ingekomen-stuk--VNG--Ledenbrief-beleidsinformatie-jeugd---gedwongen-kader-gem-Dalfsen--nr-21221-21805--20141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