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3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Loopfestijn Dalfsen, Geld beschikbaar te stellen voor sportevenementen, nr 21667-22393, 20141204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3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Loopfestijn Dalfsen, Geld beschikbaar te stellen voor sportevenementen, nr 21667-22393, 20141204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Loopfestijn Dalfsen, Geld beschikbaar te stellen voor sportevenementen, nr 21667-22393, 20141204.pdf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5-dec-2014---Ingekomen-stuk--Loopfestijn-Dalfsen--Geld-beschikbaar-te-stellen-voor-sportevenementen--nr-21667-22393--20141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