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10" w:history="1">
        <w:r>
          <w:rPr>
            <w:rFonts w:ascii="Arial" w:hAnsi="Arial" w:eastAsia="Arial" w:cs="Arial"/>
            <w:color w:val="155CAA"/>
            <w:u w:val="single"/>
          </w:rPr>
          <w:t xml:space="preserve">1 Raad 14 okt 2013 - Ingekomen stuk, RvS, Beroepschrift Rest Hof van Dalfsen BP Kern Dalfsen 2012, nr 9507-15009, 20131008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10"/>
      <w:r w:rsidRPr="00A448AC">
        <w:rPr>
          <w:rFonts w:ascii="Arial" w:hAnsi="Arial" w:cs="Arial"/>
          <w:b/>
          <w:bCs/>
          <w:color w:val="303F4C"/>
          <w:lang w:val="en-US"/>
        </w:rPr>
        <w:t>Raad 14 okt 2013 - Ingekomen stuk, RvS, Beroepschrift Rest Hof van Dalfsen BP Kern Dalfsen 2012, nr 9507-15009, 20131008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okt 2013 - Ingekomen stuk, RvS, Beroepschrift Rest Hof van Dalfsen BP Kern Dalfsen 2012, nr 9507-15009, 20131008.pdf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14-okt-2013---Ingekomen-stuk--RvS--Beroepschrift-Rest-Hof-van-Dalfsen-BP-Kern-Dalfsen-2012--nr-9507-15009--201310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