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5" w:history="1">
        <w:r>
          <w:rPr>
            <w:rFonts w:ascii="Arial" w:hAnsi="Arial" w:eastAsia="Arial" w:cs="Arial"/>
            <w:color w:val="155CAA"/>
            <w:u w:val="single"/>
          </w:rPr>
          <w:t xml:space="preserve">1 Raad 14 okt 2013 - Ingekomen stuk, R. Grootenhuis, reactie op raadscie 9 sept jl punt 7, nr 10455-9605, 20130919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5"/>
      <w:r w:rsidRPr="00A448AC">
        <w:rPr>
          <w:rFonts w:ascii="Arial" w:hAnsi="Arial" w:cs="Arial"/>
          <w:b/>
          <w:bCs/>
          <w:color w:val="303F4C"/>
          <w:lang w:val="en-US"/>
        </w:rPr>
        <w:t>Raad 14 okt 2013 - Ingekomen stuk, R. Grootenhuis, reactie op raadscie 9 sept jl punt 7, nr 10455-9605, 20130919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okt 2013 - Ingekomen stuk, R. Grootenhuis, reactie op raadscie 9 sept jl punt 7, nr 10455-9605, 20130919.pdf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4-okt-2013-Ingekomen-stuk-R-Grootenhuis-reactie-op-raadscie-9-sept-jl-punt-7-nr-10455-9605-201309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