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02" w:history="1">
        <w:r>
          <w:rPr>
            <w:rFonts w:ascii="Arial" w:hAnsi="Arial" w:eastAsia="Arial" w:cs="Arial"/>
            <w:color w:val="155CAA"/>
            <w:u w:val="single"/>
          </w:rPr>
          <w:t xml:space="preserve">1 Lbr VNG, Verbetering jeugdbeschermingsketen op korte en lange termijn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02"/>
      <w:r w:rsidRPr="00A448AC">
        <w:rPr>
          <w:rFonts w:ascii="Arial" w:hAnsi="Arial" w:cs="Arial"/>
          <w:b/>
          <w:bCs/>
          <w:color w:val="303F4C"/>
          <w:lang w:val="en-US"/>
        </w:rPr>
        <w:t>Lbr VNG, Verbetering jeugdbeschermingsketen op korte en lange termijn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Verbetering jeugdbeschermingsketen op korte en lange termijn, 20230323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Verbetering-jeugdbeschermingsketen-op-korte-en-lange-termijn-202303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