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19" w:history="1">
        <w:r>
          <w:rPr>
            <w:rFonts w:ascii="Arial" w:hAnsi="Arial" w:eastAsia="Arial" w:cs="Arial"/>
            <w:color w:val="155CAA"/>
            <w:u w:val="single"/>
          </w:rPr>
          <w:t xml:space="preserve">1 Lbr VNG, 24-040, MijnServices met Omnichannel en inwerkingtreden Wmebv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19"/>
      <w:r w:rsidRPr="00A448AC">
        <w:rPr>
          <w:rFonts w:ascii="Arial" w:hAnsi="Arial" w:cs="Arial"/>
          <w:b/>
          <w:bCs/>
          <w:color w:val="303F4C"/>
          <w:lang w:val="en-US"/>
        </w:rPr>
        <w:t>Lbr VNG, 24-040, MijnServices met Omnichannel en inwerkingtreden Wmebv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24-040, MijnServices met Omnichannel en inwerkingtreden Wmebv,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40-MijnServices-met-Omnichannel-en-inwerkingtreden-Wmebv-2024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