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0" w:history="1">
        <w:r>
          <w:rPr>
            <w:rFonts w:ascii="Arial" w:hAnsi="Arial" w:eastAsia="Arial" w:cs="Arial"/>
            <w:color w:val="155CAA"/>
            <w:u w:val="single"/>
          </w:rPr>
          <w:t xml:space="preserve">1 Lbr VNG, 23-038, Wijziging Model Verordening afvoer hemelwater en grondwater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0"/>
      <w:r w:rsidRPr="00A448AC">
        <w:rPr>
          <w:rFonts w:ascii="Arial" w:hAnsi="Arial" w:cs="Arial"/>
          <w:b/>
          <w:bCs/>
          <w:color w:val="303F4C"/>
          <w:lang w:val="en-US"/>
        </w:rPr>
        <w:t>Lbr VNG, 23-038, Wijziging Model Verordening afvoer hemelwater en grondwater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23-038, Wijziging Model Verordening afvoer hemelwater en grondwater, 20231030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38-Wijziging-Model-Verordening-afvoer-hemelwater-en-grondwater-20231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