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022" w:history="1">
        <w:r>
          <w:rPr>
            <w:rFonts w:ascii="Arial" w:hAnsi="Arial" w:eastAsia="Arial" w:cs="Arial"/>
            <w:color w:val="155CAA"/>
            <w:u w:val="single"/>
          </w:rPr>
          <w:t xml:space="preserve">1 Lbr VNG, 22-065, Ledenbrief Nationale programma's NOVEX, Woningbouw e.a., zaaknr 677179, 20121212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022"/>
      <w:r w:rsidRPr="00A448AC">
        <w:rPr>
          <w:rFonts w:ascii="Arial" w:hAnsi="Arial" w:cs="Arial"/>
          <w:b/>
          <w:bCs/>
          <w:color w:val="303F4C"/>
          <w:lang w:val="en-US"/>
        </w:rPr>
        <w:t>Lbr VNG, 22-065, Ledenbrief Nationale programma's NOVEX, Woningbouw e.a., zaaknr 677179, 20121212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 15:58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22-065, Ledenbrief Nationale programma's NOVEX, Woningbouw e.a., zaaknr 677179, 20121212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2-065-Ledenbrief-Nationale-programma-s-NOVEX-Woningbouw-e-a-zaaknr-677179-201212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