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6" w:history="1">
        <w:r>
          <w:rPr>
            <w:rFonts w:ascii="Arial" w:hAnsi="Arial" w:eastAsia="Arial" w:cs="Arial"/>
            <w:color w:val="155CAA"/>
            <w:u w:val="single"/>
          </w:rPr>
          <w:t xml:space="preserve">1 Lbr VNG, 22-052, Ondersteuning gedupeerde ouders kinderopvangtoeslagaffaire, zaaknr 671610, 20221004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6"/>
      <w:r w:rsidRPr="00A448AC">
        <w:rPr>
          <w:rFonts w:ascii="Arial" w:hAnsi="Arial" w:cs="Arial"/>
          <w:b/>
          <w:bCs/>
          <w:color w:val="303F4C"/>
          <w:lang w:val="en-US"/>
        </w:rPr>
        <w:t>Lbr VNG, 22-052, Ondersteuning gedupeerde ouders kinderopvangtoeslagaffaire, zaaknr 671610, 20221004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22-052, Ondersteuning gedupeerde ouders kinderopvangtoeslagaffaire, zaaknr 671610, 20221004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52-Ondersteuning-gedupeerde-ouders-kinderopvangtoeslagaffaire-zaaknr-671610-202210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