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98" w:history="1">
        <w:r>
          <w:rPr>
            <w:rFonts w:ascii="Arial" w:hAnsi="Arial" w:eastAsia="Arial" w:cs="Arial"/>
            <w:color w:val="155CAA"/>
            <w:u w:val="single"/>
          </w:rPr>
          <w:t xml:space="preserve">1 Lbr VNG, 22-026, Ontwikkelingen Oekraïne, zaaknr 659048, 20220428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98"/>
      <w:r w:rsidRPr="00A448AC">
        <w:rPr>
          <w:rFonts w:ascii="Arial" w:hAnsi="Arial" w:cs="Arial"/>
          <w:b/>
          <w:bCs/>
          <w:color w:val="303F4C"/>
          <w:lang w:val="en-US"/>
        </w:rPr>
        <w:t>Lbr VNG, 22-026, Ontwikkelingen Oekraïne, zaaknr 659048, 20220428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22-026, Ontwikkelingen Oekraïne, zaaknr 659048, 20220428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26-Ontwikkelingen-Oekraine-zaaknr-659048-202204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