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1" w:history="1">
        <w:r>
          <w:rPr>
            <w:rFonts w:ascii="Arial" w:hAnsi="Arial" w:eastAsia="Arial" w:cs="Arial"/>
            <w:color w:val="155CAA"/>
            <w:u w:val="single"/>
          </w:rPr>
          <w:t xml:space="preserve">1 Lbr VNG 22-018, Ventilatie in schoolgebouwen en brede opgave onderwijshuisvesting, zaaknr 656126, 20220329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1"/>
      <w:r w:rsidRPr="00A448AC">
        <w:rPr>
          <w:rFonts w:ascii="Arial" w:hAnsi="Arial" w:cs="Arial"/>
          <w:b/>
          <w:bCs/>
          <w:color w:val="303F4C"/>
          <w:lang w:val="en-US"/>
        </w:rPr>
        <w:t>Lbr VNG 22-018, Ventilatie in schoolgebouwen en brede opgave onderwijshuisvesting, zaaknr 656126, 20220329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22-018, Ventilatie in schoolgebouwen en brede opgave onderwijshuisvesting, zaaknr 656126, 20220329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18-Ventilatie-in-schoolgebouwen-en-brede-opgave-onderwijshuisvesting-zaaknr-656126-2022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