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734" w:history="1">
        <w:r>
          <w:rPr>
            <w:rFonts w:ascii="Arial" w:hAnsi="Arial" w:eastAsia="Arial" w:cs="Arial"/>
            <w:color w:val="155CAA"/>
            <w:u w:val="single"/>
          </w:rPr>
          <w:t xml:space="preserve">1 Lbr VNG, 22-009, Model Verordening leges i.v.m. Omgevingswet, zaaknr 653884, 20220302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734"/>
      <w:r w:rsidRPr="00A448AC">
        <w:rPr>
          <w:rFonts w:ascii="Arial" w:hAnsi="Arial" w:cs="Arial"/>
          <w:b/>
          <w:bCs/>
          <w:color w:val="303F4C"/>
          <w:lang w:val="en-US"/>
        </w:rPr>
        <w:t>Lbr VNG, 22-009, Model Verordening leges i.v.m. Omgevingswet, zaaknr 653884, 20220302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 11:34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22-009, Model Verordening leges i.v.m. Omgevingswet, zaaknr 653884, 20220302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Lbr-VNG-22-009-Model-Verordening-leges-i-v-m-Omgevingswet-zaaknr-653884-2022030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