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7" w:history="1">
        <w:r>
          <w:rPr>
            <w:rFonts w:ascii="Arial" w:hAnsi="Arial" w:eastAsia="Arial" w:cs="Arial"/>
            <w:color w:val="155CAA"/>
            <w:u w:val="single"/>
          </w:rPr>
          <w:t xml:space="preserve">1 Lbr VNG 21-036, Vernieuwde-gemeentelijke-inkoopvoorwaarden-bij-it-toolbox gibit, zaaknr 633921, 20210517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7"/>
      <w:r w:rsidRPr="00A448AC">
        <w:rPr>
          <w:rFonts w:ascii="Arial" w:hAnsi="Arial" w:cs="Arial"/>
          <w:b/>
          <w:bCs/>
          <w:color w:val="303F4C"/>
          <w:lang w:val="en-US"/>
        </w:rPr>
        <w:t>Lbr VNG 21-036, Vernieuwde-gemeentelijke-inkoopvoorwaarden-bij-it-toolbox gibit, zaaknr 633921, 20210517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21-036, Vernieuwde-gemeentelijke-inkoopvoorwaarden-bij-it-toolbox gibit, zaaknr 633921,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36-Vernieuwde-gemeentelijke-inkoopvoorwaarden-bij-it-toolbox-gibit-zaaknr-633921-2021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