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47" w:history="1">
        <w:r>
          <w:rPr>
            <w:rFonts w:ascii="Arial" w:hAnsi="Arial" w:eastAsia="Arial" w:cs="Arial"/>
            <w:color w:val="155CAA"/>
            <w:u w:val="single"/>
          </w:rPr>
          <w:t xml:space="preserve">1 Lbr VNG 21-029, Nieuwe-achtervangovereenkomst-gemeente-waarborgfonds-sociale-woningbouw, zaaknr 633378, 20210506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47"/>
      <w:r w:rsidRPr="00A448AC">
        <w:rPr>
          <w:rFonts w:ascii="Arial" w:hAnsi="Arial" w:cs="Arial"/>
          <w:b/>
          <w:bCs/>
          <w:color w:val="303F4C"/>
          <w:lang w:val="en-US"/>
        </w:rPr>
        <w:t>Lbr VNG 21-029, Nieuwe-achtervangovereenkomst-gemeente-waarborgfonds-sociale-woningbouw, zaaknr 633378, 20210506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21-029, Nieuwe-achtervangovereenkomst-gemeente-waarborgfonds-sociale-woningbouw, zaaknr 633378, 20210506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29-Nieuwe-achtervangovereenkomst-gemeente-waarborgfonds-sociale-woningbouw-zaaknr-633378-202105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