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38" text:style-name="Internet_20_link" text:visited-style-name="Visited_20_Internet_20_Link">
              <text:span text:style-name="ListLabel_20_28">
                <text:span text:style-name="T8">1 Lbr VNG 20-078, Voortgang ketenveldnorm levensloopfunctie en beveiligde intensieve zorg, zaaknr 625820, 20201103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38"/>
        Lbr VNG 20-078, Voortgang ketenveldnorm levensloopfunctie en beveiligde intensieve zorg, zaaknr 625820, 20201103
        <text:bookmark-end text:name="422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26-11-2020 15:38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20-078, Voortgang ketenveldnorm levensloopfunctie en beveiligde intensieve zorg, zaaknr 625820,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20-078-Voortgang-ketenveldnorm-levensloopfunctie-en-beveiligde-intensieve-zorg-zaaknr-625820-202011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622" meta:non-whitespace-character-count="5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