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149" w:history="1">
        <w:r>
          <w:rPr>
            <w:rFonts w:ascii="Arial" w:hAnsi="Arial" w:eastAsia="Arial" w:cs="Arial"/>
            <w:color w:val="155CAA"/>
            <w:u w:val="single"/>
          </w:rPr>
          <w:t xml:space="preserve">1 Lbr VNG 20-059, Ontwikkelingen geo-domein en beeindiging dienstverl Dataland, zaaknr 622318, 20200810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149"/>
      <w:r w:rsidRPr="00A448AC">
        <w:rPr>
          <w:rFonts w:ascii="Arial" w:hAnsi="Arial" w:cs="Arial"/>
          <w:b/>
          <w:bCs/>
          <w:color w:val="303F4C"/>
          <w:lang w:val="en-US"/>
        </w:rPr>
        <w:t>Lbr VNG 20-059, Ontwikkelingen geo-domein en beeindiging dienstverl Dataland, zaaknr 622318, 20200810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 14:59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20-059, Ontwikkelingen geo-domein en beeindiging dienstverl Dataland, zaaknr 622318, 20200810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Lbr-VNG-20-059-Ontwikkelingen-geo-domein-en-beeindiging-dienstverl-Dataland-zaaknr-622318-2020081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