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0" w:history="1">
        <w:r>
          <w:rPr>
            <w:rFonts w:ascii="Arial" w:hAnsi="Arial" w:eastAsia="Arial" w:cs="Arial"/>
            <w:color w:val="155CAA"/>
            <w:u w:val="single"/>
          </w:rPr>
          <w:t xml:space="preserve">1 Lbr VNG 19-107, Wet electronische publicaties, zaaknr 612041, 20200107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0"/>
      <w:r w:rsidRPr="00A448AC">
        <w:rPr>
          <w:rFonts w:ascii="Arial" w:hAnsi="Arial" w:cs="Arial"/>
          <w:b/>
          <w:bCs/>
          <w:color w:val="303F4C"/>
          <w:lang w:val="en-US"/>
        </w:rPr>
        <w:t>Lbr VNG 19-107, Wet electronische publicaties, zaaknr 612041, 20200107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19-107, Wet electronische publicaties, zaaknr 612041,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107-Wet-electronische-publicaties-zaaknr-612041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