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8" w:history="1">
        <w:r>
          <w:rPr>
            <w:rFonts w:ascii="Arial" w:hAnsi="Arial" w:eastAsia="Arial" w:cs="Arial"/>
            <w:color w:val="155CAA"/>
            <w:u w:val="single"/>
          </w:rPr>
          <w:t xml:space="preserve">1 Lbr VNG 19-101, Totaalpakket moties, preadviezen en brieven Buitegewone ALV 29 nov 2019, zaaknr 611289, 20191128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8"/>
      <w:r w:rsidRPr="00A448AC">
        <w:rPr>
          <w:rFonts w:ascii="Arial" w:hAnsi="Arial" w:cs="Arial"/>
          <w:b/>
          <w:bCs/>
          <w:color w:val="303F4C"/>
          <w:lang w:val="en-US"/>
        </w:rPr>
        <w:t>Lbr VNG 19-101, Totaalpakket moties, preadviezen en brieven Buitegewone ALV 29 nov 2019, zaaknr 611289, 20191128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19-101, Totaalpakket moties, preadviezen en brieven Buitegewone ALV 29 nov 2019, zaaknr 611289, 20191128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101-Totaalpakket-moties-preadviezen-en-brieven-Buitegewone-ALV-29-nov-2019-zaaknr-611289-20191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