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87" text:style-name="Internet_20_link" text:visited-style-name="Visited_20_Internet_20_Link">
              <text:span text:style-name="ListLabel_20_28">
                <text:span text:style-name="T8">1 Lbr VNG 19-099, Wijziging Wet Kenbaarheid Publiekrechtelijke, zaaknr 610899, 20191121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87"/>
        Lbr VNG 19-099, Wijziging Wet Kenbaarheid Publiekrechtelijke, zaaknr 610899, 20191121
        <text:bookmark-end text:name="419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17-12-2019 10:34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19-099, Wijziging Wet Kenbaarheid Publiekrechtelijke, zaaknr 610899,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99-Wijziging-Wet-Kenbaarheid-Publiekrechtelijke-zaaknr-610899-2019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41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