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932" text:style-name="Internet_20_link" text:visited-style-name="Visited_20_Internet_20_Link">
              <text:span text:style-name="ListLabel_20_28">
                <text:span text:style-name="T8">1 Lbr VNG 19-059, Indexering-wijziging subsidies-bekostiging welzijn en cultuur 2017-2020, zaaknr 605393, 20190815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32"/>
        Lbr VNG 19-059, Indexering-wijziging subsidies-bekostiging welzijn en cultuur 2017-2020, zaaknr 605393, 20190815
        <text:bookmark-end text:name="419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26-09-2019 16:06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19-059, Indexering-wijziging subsidies-bekostiging welzijn en cultuur 2017-2020, zaaknr 605393, 20190815
              <text:span text:style-name="T3"/>
            </text:p>
            <text:p text:style-name="P7"/>
          </table:table-cell>
          <table:table-cell table:style-name="Table4.A2" office:value-type="string">
            <text:p text:style-name="P8">15-08-2019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Lbr-VNG-19-059-Indexering-wijziging-subsidies-bekostiging-welzijn-en-cultuur-2017-2020-zaaknr-605393-201908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2" meta:character-count="620" meta:non-whitespace-character-count="5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