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27" text:style-name="Internet_20_link" text:visited-style-name="Visited_20_Internet_20_Link">
              <text:span text:style-name="ListLabel_20_28">
                <text:span text:style-name="T8">1 Lbr VNG, 18-031, Invoering abonnementstarief in de Wmo, Transformatiefonds en verlengde pleegzorg, 13 juni 2018, zaaknr. 585141, 20180614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27"/>
        Lbr VNG, 18-031, Invoering abonnementstarief in de Wmo, Transformatiefonds en verlengde pleegzorg, 13 juni 2018, zaaknr. 585141, 20180614
        <text:bookmark-end text:name="417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30-07-2018 08:40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18-031, Invoering abonnementstarief in de Wmo, Transformatiefonds en verlengde pleegzorg, 13 juni 2018, zaaknr. 585141, 20180614
              <text:span text:style-name="T3"/>
            </text:p>
            <text:p text:style-name="P7"/>
          </table:table-cell>
          <table:table-cell table:style-name="Table4.A2" office:value-type="string">
            <text:p text:style-name="P8">14-06-2018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332,00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Lbr-VNG-18-031-Invoering-abonnementstarief-in-de-Wmo-Transformatiefonds-en-verlengde-pleegzorg-13-juni-2018-zaaknr-585141-201806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0" meta:character-count="697" meta:non-whitespace-character-count="6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