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30" w:history="1">
        <w:r>
          <w:rPr>
            <w:rFonts w:ascii="Arial" w:hAnsi="Arial" w:eastAsia="Arial" w:cs="Arial"/>
            <w:color w:val="155CAA"/>
            <w:u w:val="single"/>
          </w:rPr>
          <w:t xml:space="preserve">1 Brf Werkgroep Vergroenen, Plan transformatie Buldersweg, zaaknr 678179, 20221219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30"/>
      <w:r w:rsidRPr="00A448AC">
        <w:rPr>
          <w:rFonts w:ascii="Arial" w:hAnsi="Arial" w:cs="Arial"/>
          <w:b/>
          <w:bCs/>
          <w:color w:val="303F4C"/>
          <w:lang w:val="en-US"/>
        </w:rPr>
        <w:t>Brf Werkgroep Vergroenen, Plan transformatie Buldersweg, zaaknr 678179, 20221219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Werkgroep Vergroenen, Plan transformatie Buldersweg, zaaknr 678179, 20221219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Werkgroep-Vergroenen-Plan-transformatie-Buldersweg-zaaknr-678179-202212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