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04" text:style-name="Internet_20_link" text:visited-style-name="Visited_20_Internet_20_Link">
              <text:span text:style-name="ListLabel_20_28">
                <text:span text:style-name="T8">1 Brf, Werkgroep Typisch Dalfsen, Centrumvisie kern Dalfsen en Typisch Dalfsen, 3 mei 2018, zaaknr. 583026, 20180507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04"/>
        Brf, Werkgroep Typisch Dalfsen, Centrumvisie kern Dalfsen en Typisch Dalfsen, 3 mei 2018, zaaknr. 583026, 20180507
        <text:bookmark-end text:name="417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05-06-2018 14:42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Werkgroep Typisch Dalfsen, Centrumvisie kern Dalfsen en Typisch Dalfsen, 3 mei 2018, zaaknr. 583026, 20180507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Werkgroep-Typisch-Dalfsen-Centrumvisie-kern-Dalfsen-en-Typisch-Dalfsen-3-mei-2018-zaaknr-583026-201805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28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