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73" w:history="1">
        <w:r>
          <w:rPr>
            <w:rFonts w:ascii="Arial" w:hAnsi="Arial" w:eastAsia="Arial" w:cs="Arial"/>
            <w:color w:val="155CAA"/>
            <w:u w:val="single"/>
          </w:rPr>
          <w:t xml:space="preserve">1 Brf VR IJsselland, Tweede bestuursrapportage 2019, zaaknr 609350, 20191017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73"/>
      <w:r w:rsidRPr="00A448AC">
        <w:rPr>
          <w:rFonts w:ascii="Arial" w:hAnsi="Arial" w:cs="Arial"/>
          <w:b/>
          <w:bCs/>
          <w:color w:val="303F4C"/>
          <w:lang w:val="en-US"/>
        </w:rPr>
        <w:t>Brf VR IJsselland, Tweede bestuursrapportage 2019, zaaknr 609350, 20191017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 10:03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VR IJsselland, Tweede bestuursrapportage 2019, zaaknr 609350, 20191017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VR-IJsselland-Tweede-bestuursrapportage-2019-zaaknr-609350-20191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