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4" w:history="1">
        <w:r>
          <w:rPr>
            <w:rFonts w:ascii="Arial" w:hAnsi="Arial" w:eastAsia="Arial" w:cs="Arial"/>
            <w:color w:val="155CAA"/>
            <w:u w:val="single"/>
          </w:rPr>
          <w:t xml:space="preserve">1 Brf, Sociaal Werk Nederland, Urgente oproep tot indexering tarieven sociaal 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4"/>
      <w:r w:rsidRPr="00A448AC">
        <w:rPr>
          <w:rFonts w:ascii="Arial" w:hAnsi="Arial" w:cs="Arial"/>
          <w:b/>
          <w:bCs/>
          <w:color w:val="303F4C"/>
          <w:lang w:val="en-US"/>
        </w:rPr>
        <w:t>Brf, Sociaal Werk Nederland, Urgente oproep tot indexering tarieven sociaal 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Sociaal Werk Nederland, Urgente oproep tot indexering tarieven sociaal werk,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ociaal-Werk-Nederland-Urgente-oproep-tot-indexering-tarieven-sociaal-werk-202308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