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36" w:history="1">
        <w:r>
          <w:rPr>
            <w:rFonts w:ascii="Arial" w:hAnsi="Arial" w:eastAsia="Arial" w:cs="Arial"/>
            <w:color w:val="155CAA"/>
            <w:u w:val="single"/>
          </w:rPr>
          <w:t xml:space="preserve">1 Brf Right to Challenge, Routeplanner, zaaknr 595670, 20190114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36"/>
      <w:r w:rsidRPr="00A448AC">
        <w:rPr>
          <w:rFonts w:ascii="Arial" w:hAnsi="Arial" w:cs="Arial"/>
          <w:b/>
          <w:bCs/>
          <w:color w:val="303F4C"/>
          <w:lang w:val="en-US"/>
        </w:rPr>
        <w:t>Brf Right to Challenge, Routeplanner, zaaknr 595670, 20190114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Right to Challenge, Routeplanner, zaaknr 595670,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Right-to-Challenge-Routeplanner-zaaknr-595670-2019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