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07" w:history="1">
        <w:r>
          <w:rPr>
            <w:rFonts w:ascii="Arial" w:hAnsi="Arial" w:eastAsia="Arial" w:cs="Arial"/>
            <w:color w:val="155CAA"/>
            <w:u w:val="single"/>
          </w:rPr>
          <w:t xml:space="preserve">1 Brf, Raad van State, Procedure BP Buitengebied, Windpark Synergie en omgevingsvergunning, 2 mei 2018, zaaknr. 581836, 20180507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07"/>
      <w:r w:rsidRPr="00A448AC">
        <w:rPr>
          <w:rFonts w:ascii="Arial" w:hAnsi="Arial" w:cs="Arial"/>
          <w:b/>
          <w:bCs/>
          <w:color w:val="303F4C"/>
          <w:lang w:val="en-US"/>
        </w:rPr>
        <w:t>Brf, Raad van State, Procedure BP Buitengebied, Windpark Synergie en omgevingsvergunning, 2 mei 2018, zaaknr. 581836, 20180507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 14:42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Raad van State, Procedure BP Buitengebied, Windpark Synergie en omgevingsvergunning, 2 mei 2018, zaaknr. 581836, 20180507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Raad-van-State-Procedure-BP-Buitengebied-Windpark-Synergie-en-omgevingsvergunning-2-mei-2018-zaaknr-581836-201805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