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85" w:history="1">
        <w:r>
          <w:rPr>
            <w:rFonts w:ascii="Arial" w:hAnsi="Arial" w:eastAsia="Arial" w:cs="Arial"/>
            <w:color w:val="155CAA"/>
            <w:u w:val="single"/>
          </w:rPr>
          <w:t xml:space="preserve">1 Brf Provincie Overijssel, Implementatieplan 'Regierol regionale energie-infrastructuur, zaaknr 665713, 20220711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85"/>
      <w:r w:rsidRPr="00A448AC">
        <w:rPr>
          <w:rFonts w:ascii="Arial" w:hAnsi="Arial" w:cs="Arial"/>
          <w:b/>
          <w:bCs/>
          <w:color w:val="303F4C"/>
          <w:lang w:val="en-US"/>
        </w:rPr>
        <w:t>Brf Provincie Overijssel, Implementatieplan 'Regierol regionale energie-infrastructuur, zaaknr 665713, 20220711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Provincie Overijssel, Implementatieplan 'Regierol regionale energie-infrastructuur, zaaknr 665713,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Provincie-Overijssel-Implementatieplan-Regierol-regionale-energie-infrastructuur-zaaknr-665713-202207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