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2" w:history="1">
        <w:r>
          <w:rPr>
            <w:rFonts w:ascii="Arial" w:hAnsi="Arial" w:eastAsia="Arial" w:cs="Arial"/>
            <w:color w:val="155CAA"/>
            <w:u w:val="single"/>
          </w:rPr>
          <w:t xml:space="preserve">1 Brf OOZ, Voordracht benoeming leden Raad van Toezicht St. Openbaar Onderwijs Zwolle, zaaknr 664952, 20220630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2"/>
      <w:r w:rsidRPr="00A448AC">
        <w:rPr>
          <w:rFonts w:ascii="Arial" w:hAnsi="Arial" w:cs="Arial"/>
          <w:b/>
          <w:bCs/>
          <w:color w:val="303F4C"/>
          <w:lang w:val="en-US"/>
        </w:rPr>
        <w:t>Brf OOZ, Voordracht benoeming leden Raad van Toezicht St. Openbaar Onderwijs Zwolle, zaaknr 664952, 20220630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OOZ, Voordracht benoeming leden Raad van Toezicht St. Openbaar Onderwijs Zwolle, zaaknr 664952, 20220630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OZ-Voordracht-benoeming-leden-Raad-van-Toezicht-St-Openbaar-Onderwijs-Zwolle-zaaknr-664952-202206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