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62" w:history="1">
        <w:r>
          <w:rPr>
            <w:rFonts w:ascii="Arial" w:hAnsi="Arial" w:eastAsia="Arial" w:cs="Arial"/>
            <w:color w:val="155CAA"/>
            <w:u w:val="single"/>
          </w:rPr>
          <w:t xml:space="preserve">1 Brf Ministerie BZK, Circulaire verhoging toelage voor volksvertegenwoordigers per 1 juli 2019 en 1 januari 2020, zaaknr 608444, 20191003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62"/>
      <w:r w:rsidRPr="00A448AC">
        <w:rPr>
          <w:rFonts w:ascii="Arial" w:hAnsi="Arial" w:cs="Arial"/>
          <w:b/>
          <w:bCs/>
          <w:color w:val="303F4C"/>
          <w:lang w:val="en-US"/>
        </w:rPr>
        <w:t>Brf Ministerie BZK, Circulaire verhoging toelage voor volksvertegenwoordigers per 1 juli 2019 en 1 januari 2020, zaaknr 608444, 20191003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Ministerie BZK, Circulaire verhoging toelage voor volksvertegenwoordigers per 1 juli 2019 en 1 januari 2020, zaaknr 608444, 20191003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Ministerie-BZK-Circulaire-verhoging-toelage-voor-volksvertegenwoordigers-per-1-juli-2019-en-1-januari-2020-zaaknr-608444-20191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