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7" w:history="1">
        <w:r>
          <w:rPr>
            <w:rFonts w:ascii="Arial" w:hAnsi="Arial" w:eastAsia="Arial" w:cs="Arial"/>
            <w:color w:val="155CAA"/>
            <w:u w:val="single"/>
          </w:rPr>
          <w:t xml:space="preserve">1 Brf, Milieudefensie, Routekaart Eerlijk om naar gasloos wonen, 24 april 2018, zaaknr. 582365, 20180426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7"/>
      <w:r w:rsidRPr="00A448AC">
        <w:rPr>
          <w:rFonts w:ascii="Arial" w:hAnsi="Arial" w:cs="Arial"/>
          <w:b/>
          <w:bCs/>
          <w:color w:val="303F4C"/>
          <w:lang w:val="en-US"/>
        </w:rPr>
        <w:t>Brf, Milieudefensie, Routekaart Eerlijk om naar gasloos wonen, 24 april 2018, zaaknr. 582365, 20180426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Milieudefensie, Routekaart Eerlijk om naar gasloos wonen, 24 april 2018, zaaknr. 582365, 20180426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Milieudefensie-Routekaart-Eerlijk-om-naar-gasloos-wonen-24-april-2018-zaaknr-582365-201804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