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1" w:history="1">
        <w:r>
          <w:rPr>
            <w:rFonts w:ascii="Arial" w:hAnsi="Arial" w:eastAsia="Arial" w:cs="Arial"/>
            <w:color w:val="155CAA"/>
            <w:u w:val="single"/>
          </w:rPr>
          <w:t xml:space="preserve">1 Brf INTER-PSY Groep, Prijsindexaties WMO 2023-2024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1"/>
      <w:r w:rsidRPr="00A448AC">
        <w:rPr>
          <w:rFonts w:ascii="Arial" w:hAnsi="Arial" w:cs="Arial"/>
          <w:b/>
          <w:bCs/>
          <w:color w:val="303F4C"/>
          <w:lang w:val="en-US"/>
        </w:rPr>
        <w:t>Brf INTER-PSY Groep, Prijsindexaties WMO 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INTER-PSY Groep, Prijsindexaties WMO 2023-2024, 20231019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TER-PSY-Groep-Prijsindexaties-WMO-2023-2024-20231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