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767" w:history="1">
        <w:r>
          <w:rPr>
            <w:rFonts w:ascii="Arial" w:hAnsi="Arial" w:eastAsia="Arial" w:cs="Arial"/>
            <w:color w:val="155CAA"/>
            <w:u w:val="single"/>
          </w:rPr>
          <w:t xml:space="preserve">1 Brf, H., Reactie op voorkeursrecht perceel, zaaknr 589502, 20180910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767"/>
      <w:r w:rsidRPr="00A448AC">
        <w:rPr>
          <w:rFonts w:ascii="Arial" w:hAnsi="Arial" w:cs="Arial"/>
          <w:b/>
          <w:bCs/>
          <w:color w:val="303F4C"/>
          <w:lang w:val="en-US"/>
        </w:rPr>
        <w:t>Brf, H., Reactie op voorkeursrecht perceel, zaaknr 589502, 20180910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01-10-2018 11:58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H., Reactie op voorkeursrecht perceel, zaaknr 589502, 20180910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fdoening-in-handen-van-het-college-stellen/Brf-H-Reactie-op-voorkeursrecht-perceel-zaaknr-589502-2018091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