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6" w:history="1">
        <w:r>
          <w:rPr>
            <w:rFonts w:ascii="Arial" w:hAnsi="Arial" w:eastAsia="Arial" w:cs="Arial"/>
            <w:color w:val="155CAA"/>
            <w:u w:val="single"/>
          </w:rPr>
          <w:t xml:space="preserve">1 Brf, GGD IJsselland, Jaarstukken 2017, 13 april 2018, zaaknr. 581717, 20180416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6"/>
      <w:r w:rsidRPr="00A448AC">
        <w:rPr>
          <w:rFonts w:ascii="Arial" w:hAnsi="Arial" w:cs="Arial"/>
          <w:b/>
          <w:bCs/>
          <w:color w:val="303F4C"/>
          <w:lang w:val="en-US"/>
        </w:rPr>
        <w:t>Brf, GGD IJsselland, Jaarstukken 2017, 13 april 2018, zaaknr. 581717, 20180416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GGD IJsselland, Jaarstukken 2017, 13 april 2018, zaaknr. 581717,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GGD-IJsselland-Jaarstukken-2017-13-april-2018-zaaknr-581717-201804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