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23:40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683" text:style-name="Internet_20_link" text:visited-style-name="Visited_20_Internet_20_Link">
              <text:span text:style-name="ListLabel_20_28">
                <text:span text:style-name="T8">1 Brf, GGD IJsselland, Concept programmabegroting 2019 en meerjarenraming 2020-2022, 6 april 2018, zaaknr. 581225, 20180412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683"/>
        Brf, GGD IJsselland, Concept programmabegroting 2019 en meerjarenraming 2020-2022, 6 april 2018, zaaknr. 581225, 20180412
        <text:bookmark-end text:name="4168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03-05-2018 15:23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GGD IJsselland, Concept programmabegroting 2019 en meerjarenraming 2020-2022, 6 april 2018, zaaknr. 581225, 20180412
              <text:span text:style-name="T3"/>
            </text:p>
            <text:p text:style-name="P7"/>
          </table:table-cell>
          <table:table-cell table:style-name="Table4.A2" office:value-type="string">
            <text:p text:style-name="P8">12-04-2018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385,68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GGD-IJsselland-Concept-programmabegroting-2019-en-meerjarenraming-2020-2022-6-april-2018-zaaknr-581225-201804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1" meta:character-count="649" meta:non-whitespace-character-count="5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1138523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1138523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