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9" w:history="1">
        <w:r>
          <w:rPr>
            <w:rFonts w:ascii="Arial" w:hAnsi="Arial" w:eastAsia="Arial" w:cs="Arial"/>
            <w:color w:val="155CAA"/>
            <w:u w:val="single"/>
          </w:rPr>
          <w:t xml:space="preserve">1 Brf, GBLT, Kadernotitie 2019, 30 maart 2018, zaaknr. 580889, 20180403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9"/>
      <w:r w:rsidRPr="00A448AC">
        <w:rPr>
          <w:rFonts w:ascii="Arial" w:hAnsi="Arial" w:cs="Arial"/>
          <w:b/>
          <w:bCs/>
          <w:color w:val="303F4C"/>
          <w:lang w:val="en-US"/>
        </w:rPr>
        <w:t>Brf, GBLT, Kadernotitie 2019, 30 maart 2018, zaaknr. 580889, 20180403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GBLT, Kadernotitie 2019, 30 maart 2018, zaaknr. 580889,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BLT-Kadernotitie-2019-30-maart-2018-zaaknr-580889-2018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