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4" w:history="1">
        <w:r>
          <w:rPr>
            <w:rFonts w:ascii="Arial" w:hAnsi="Arial" w:eastAsia="Arial" w:cs="Arial"/>
            <w:color w:val="155CAA"/>
            <w:u w:val="single"/>
          </w:rPr>
          <w:t xml:space="preserve">1 Brf, Continentie Stichting NL, Vragen openbare toiletvoorziening, 15 juni 2018, zaaknr. 585360, 20180619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4"/>
      <w:r w:rsidRPr="00A448AC">
        <w:rPr>
          <w:rFonts w:ascii="Arial" w:hAnsi="Arial" w:cs="Arial"/>
          <w:b/>
          <w:bCs/>
          <w:color w:val="303F4C"/>
          <w:lang w:val="en-US"/>
        </w:rPr>
        <w:t>Brf, Continentie Stichting NL, Vragen openbare toiletvoorziening, 15 juni 2018, zaaknr. 585360, 20180619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Continentie Stichting NL, Vragen openbare toiletvoorziening, 15 juni 2018, zaaknr. 585360, 20180619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Continentie-Stichting-NL-Vragen-openbare-toiletvoorziening-15-juni-2018-zaaknr-585360-201806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