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71" text:style-name="Internet_20_link" text:visited-style-name="Visited_20_Internet_20_Link">
              <text:span text:style-name="ListLabel_20_28">
                <text:span text:style-name="T8">1 Brf, Buro Jansen &amp;amp; Janssen, Invoering van de WIV 2017, 18 maart 2018, zaaknr. 580189, 20180319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71"/>
        Brf, Buro Jansen &amp;amp; Janssen, Invoering van de WIV 2017, 18 maart 2018, zaaknr. 580189, 20180319
        <text:bookmark-end text:name="416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03-05-2018 15:29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Buro Jansen &amp;amp; Janssen, Invoering van de WIV 2017, 18 maart 2018, zaaknr. 580189, 20180319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423,54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Buro-Jansen-Janssen-Invoering-van-de-WIV-2017-18-maart-2018-zaaknr-580189-201803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580" meta:non-whitespace-character-count="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